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0E" w:rsidRPr="00A8530E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A8530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Publications </w:t>
      </w:r>
      <w:proofErr w:type="gramStart"/>
      <w:r w:rsidRPr="00A8530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2015</w:t>
      </w:r>
      <w:r w:rsidR="009E7BA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Pr="00A8530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-</w:t>
      </w:r>
      <w:proofErr w:type="gramEnd"/>
      <w:r w:rsidRPr="00A8530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 U913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Preterre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</w:t>
      </w:r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Corbillé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AG</w:t>
      </w:r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Balloy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Letournel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F, </w:t>
      </w:r>
      <w:proofErr w:type="spellStart"/>
      <w:r w:rsidRPr="00A8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A8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Derkinderen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P.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hyperlink r:id="rId5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Optimizing Western Blots for the Detection of Endogenous </w:t>
        </w:r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fr-FR"/>
          </w:rPr>
          <w:t>α</w:t>
        </w:r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-</w:t>
        </w:r>
        <w:proofErr w:type="spellStart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Synuclein</w:t>
        </w:r>
        <w:proofErr w:type="spellEnd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 in the Enteric Nervous System.</w:t>
        </w:r>
      </w:hyperlink>
      <w:r w:rsidR="00BE20D5" w:rsidRPr="00BE20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 </w:t>
      </w:r>
      <w:proofErr w:type="spell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Parkinsons</w:t>
      </w:r>
      <w:proofErr w:type="spell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Dis. 2015 Nov 22</w:t>
      </w:r>
      <w:proofErr w:type="gram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;5</w:t>
      </w:r>
      <w:proofErr w:type="gram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(4):765-72. 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Soret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Mennetrey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Bergeron KF,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Dariel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</w:t>
      </w:r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8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A8530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Grunder</w:t>
      </w:r>
      <w:proofErr w:type="spellEnd"/>
      <w:r w:rsidRPr="00A853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F, Faure C, Silversides DW, Pilon 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6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A collagen VI-dependent pathogenic mechanism for </w:t>
        </w:r>
        <w:proofErr w:type="spellStart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Hirschsprung's</w:t>
        </w:r>
        <w:proofErr w:type="spellEnd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 disease.</w:t>
        </w:r>
      </w:hyperlink>
      <w:r w:rsidR="00BE20D5" w:rsidRPr="00BE20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 </w:t>
      </w:r>
      <w:proofErr w:type="spell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Clin</w:t>
      </w:r>
      <w:proofErr w:type="spell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Invest. 2015 Dec 1</w:t>
      </w:r>
      <w:proofErr w:type="gram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;125</w:t>
      </w:r>
      <w:proofErr w:type="gram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(12):4483-96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Pochard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Coquenlorge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Jaulin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J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Cenac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Vergnolle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Meurette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G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Freyssinet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Rolli-Derkinderen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  <w:hyperlink r:id="rId7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Defects in 15-HETE Production and Control of Epithelial Permeability by Human Enteric Glial Cells </w:t>
        </w:r>
        <w:proofErr w:type="gramStart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From</w:t>
        </w:r>
        <w:proofErr w:type="gramEnd"/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 Patients With Crohn's Disease.</w:t>
        </w:r>
      </w:hyperlink>
      <w:r w:rsidR="00BE20D5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Gastroenterology. 2016 Jan</w:t>
      </w:r>
      <w:proofErr w:type="gram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;150</w:t>
      </w:r>
      <w:proofErr w:type="gram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(1):168-80. </w:t>
      </w:r>
    </w:p>
    <w:p w:rsidR="00B23F32" w:rsidRPr="001C6F01" w:rsidRDefault="001C6F01" w:rsidP="00B23F32">
      <w:pPr>
        <w:spacing w:before="100" w:beforeAutospacing="1" w:after="100" w:afterAutospacing="1" w:line="240" w:lineRule="auto"/>
        <w:rPr>
          <w:lang w:val="en-US"/>
        </w:rPr>
      </w:pP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Basso L,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Bourreille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A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Dietrich 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8" w:history="1">
        <w:r w:rsidR="00B23F32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fr-FR"/>
          </w:rPr>
          <w:t>Intestinal inflammation and pain management.</w:t>
        </w:r>
      </w:hyperlink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Curr</w:t>
      </w:r>
      <w:proofErr w:type="spell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Opin</w:t>
      </w:r>
      <w:proofErr w:type="spell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Pharmacol</w:t>
      </w:r>
      <w:proofErr w:type="spell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Dec</w:t>
      </w:r>
      <w:proofErr w:type="gram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;25:50</w:t>
      </w:r>
      <w:proofErr w:type="gram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-5. </w:t>
      </w:r>
    </w:p>
    <w:p w:rsidR="00B23F32" w:rsidRPr="001C6F01" w:rsidRDefault="001C6F01" w:rsidP="00B23F32">
      <w:pPr>
        <w:spacing w:before="100" w:beforeAutospacing="1" w:after="100" w:afterAutospacing="1" w:line="240" w:lineRule="auto"/>
        <w:rPr>
          <w:lang w:val="en-US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Brandel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JP,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Corbillé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AG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Derkinderen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P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Haïk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S. </w:t>
      </w:r>
      <w:hyperlink r:id="rId9" w:history="1">
        <w:r w:rsidR="00B23F32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fr-FR"/>
          </w:rPr>
          <w:t>[Is Parkinson's disease a prion disease?].</w:t>
        </w:r>
      </w:hyperlink>
      <w:r w:rsidR="00B23F32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Rev </w:t>
      </w:r>
      <w:proofErr w:type="spell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Neurol</w:t>
      </w:r>
      <w:proofErr w:type="spell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(Paris). 2015 Dec</w:t>
      </w:r>
      <w:proofErr w:type="gram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;171</w:t>
      </w:r>
      <w:proofErr w:type="gram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(12):812-24. </w:t>
      </w:r>
    </w:p>
    <w:p w:rsidR="00B23F32" w:rsidRPr="001C6F01" w:rsidRDefault="001C6F01" w:rsidP="00B23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Douam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Bobay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LM,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Maurin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Fresquet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Calland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Maisse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Durand T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Cosset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Féray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Lavillette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D. </w:t>
      </w:r>
      <w:hyperlink r:id="rId10" w:history="1">
        <w:r w:rsidR="00B23F32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Specialization of hepatitis C virus envelope glycoproteins for B-lymphocytes in chronically infected patients.</w:t>
        </w:r>
      </w:hyperlink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23F32"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 </w:t>
      </w:r>
      <w:proofErr w:type="spellStart"/>
      <w:r w:rsidR="00B23F32"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Virol</w:t>
      </w:r>
      <w:proofErr w:type="spellEnd"/>
      <w:r w:rsidR="00B23F32"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23F32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 Nov 4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Bouchaud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Castan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Chesné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Braza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Aubert P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Magnan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Bodinier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M. </w:t>
      </w:r>
      <w:hyperlink r:id="rId11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Maternal exposure to GOS/inulin mixture prevents food allergies and promotes tolerance in offspring in mice.</w:t>
        </w:r>
      </w:hyperlink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Allergy. 2015 Oct 1</w:t>
      </w:r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Quénéhervé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Bruley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des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Varannes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Tearney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E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hyperlink r:id="rId12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[Novel endoscopic techniques to image the upper gastrointestinal tract].</w:t>
        </w:r>
      </w:hyperlink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Med </w:t>
      </w:r>
      <w:proofErr w:type="spell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Sci</w:t>
      </w:r>
      <w:proofErr w:type="spell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(Paris). 2015 Aug-Sep</w:t>
      </w:r>
      <w:proofErr w:type="gram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;31</w:t>
      </w:r>
      <w:proofErr w:type="gram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(8-9):777-83. </w:t>
      </w:r>
    </w:p>
    <w:p w:rsidR="00A8530E" w:rsidRPr="001C6F01" w:rsidRDefault="001C6F01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Le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Loupp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AG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Bach-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Ngohou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K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Bourreille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Boudin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H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Rolli-Derkinderen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Denis MG,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Masson D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3" w:history="1">
        <w:r w:rsidR="00A8530E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Activation of the prostaglandin D2 metabolic pathway in Crohn's disease: involvement of the enteric nervous system.</w:t>
        </w:r>
      </w:hyperlink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BMC </w:t>
      </w:r>
      <w:proofErr w:type="spell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Gastroenterol</w:t>
      </w:r>
      <w:proofErr w:type="spell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Sep 4</w:t>
      </w:r>
      <w:proofErr w:type="gramStart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;15:112</w:t>
      </w:r>
      <w:proofErr w:type="gramEnd"/>
      <w:r w:rsidR="00A8530E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Louveau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Nerrière-Daguin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Vanhove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Naveilhan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Nicot A,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Boudin H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9E7BA1"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Targeting the CD80/CD86 costimulatory pathway with CTLA4-Ig directs microglia toward a repair phenotype and promotes axonal outgrowth.</w:t>
        </w:r>
      </w:hyperlink>
      <w:r w:rsidR="001C6F0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Glia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2015 Dec;63(12):2298-312.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Bouchaud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G, Gourbeyre P,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Bihouée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Aubert P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Lair D, Cheminant MA,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Denery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-Papini S,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Magnan A,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Bodinier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</w:t>
      </w:r>
      <w:r w:rsidR="009E7BA1" w:rsidRPr="001C6F0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hyperlink r:id="rId15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Consecutive Food and Respiratory Allergies Amplify Systemic and Gut but Not Lung Outcomes in Mice.</w:t>
        </w:r>
      </w:hyperlink>
      <w:r w:rsidR="001C6F0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Agric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Food Chem. 2015 Jul 22;63(28):6475-83.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E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Dewitte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Aubert P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Musquer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Bruley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des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Varannes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6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Reversibility of gastric mucosal lesions induced by sodium phosphate tablets and characterized by probe-based confocal laser </w:t>
        </w:r>
        <w:proofErr w:type="spellStart"/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endomicroscopy</w:t>
        </w:r>
        <w:proofErr w:type="spellEnd"/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.</w:t>
        </w:r>
      </w:hyperlink>
      <w:r w:rsidR="001C6F01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Endosc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Open. 2015 Feb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;3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(1):E69-75.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Brégeon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J,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Bossard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Biraud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Coron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E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Bourreille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Meurette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G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9E7BA1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7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Improvement of Refractory Ulcerative </w:t>
        </w:r>
        <w:proofErr w:type="spellStart"/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Proctitis</w:t>
        </w:r>
        <w:proofErr w:type="spellEnd"/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 xml:space="preserve"> With Sacral Nerve Stimulation.</w:t>
        </w:r>
      </w:hyperlink>
      <w:r w:rsidR="001C6F01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Gastroenterol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Nov-Dec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;49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(10):853-7.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Mailly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Xiao F, Lupberger J, Wilson GK, Aubert P, Duong FH, Calabrese D,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Leboeuf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Fofana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Thumann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Bandiera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Lütgehetmann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Volz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T, Davis C, Harris HJ,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CJ, Girardi E,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Chane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Woon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-Ming B, Ericsson M, Fletcher N,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Bartenschlager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Pessaux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Vercauteren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Meuleman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P, Villa P,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Kaderali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Pfeffer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S, Heim MH,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Zeisel MB,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Dandri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McKeating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JA,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Robinet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E, Baumert TF.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18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Clearance of persistent hepatitis C virus infection in humanized mice using a claudin-1-targeting monoclonal antibody.</w:t>
        </w:r>
      </w:hyperlink>
      <w:r w:rsidR="001C6F01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Nat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Biotechnol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May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;33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(5):549-54.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Clairembault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T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Leclair-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Visonneau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L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Coron E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Bourreille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A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Dily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S, Vavasseur F, Heymann MF,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Derkinderen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9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Structural alterations of the intestinal epithelial barrier in Parkinson's disease.</w:t>
        </w:r>
      </w:hyperlink>
      <w:r w:rsidR="001C6F01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Acta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Neuropathol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Commun. 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2015 Mar 10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;3:12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Dothel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G,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Barbaro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MR,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Boudin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H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Vasina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Cremon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C, Gargano L,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Bellacosa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De Giorgio R,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Le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Berre-Scoul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Aubert P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De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Ponti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Stanghellini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V, Barbara G.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20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Nerve fiber outgrowth is increased in the intestinal mucosa of patients with irritable bowel syndrome.</w:t>
        </w:r>
      </w:hyperlink>
      <w:r w:rsidR="001C6F01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fr-FR"/>
        </w:rPr>
        <w:t xml:space="preserve"> 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Gastroenterology. 2015 May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;148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(5):1002-1011.e4. </w:t>
      </w:r>
    </w:p>
    <w:p w:rsidR="00A8530E" w:rsidRPr="001C6F01" w:rsidRDefault="00A8530E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Suply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Leclair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MD,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Roze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JC,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Flamant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</w:t>
      </w:r>
      <w:r w:rsidR="00BE20D5"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hyperlink r:id="rId21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Spontaneous Intestinal Perforation and Necrotizing Enterocolitis: A 16-Year Retrospective Study from a Single Center.</w:t>
        </w:r>
      </w:hyperlink>
      <w:r w:rsidR="001C6F01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Eur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Pediatr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Surg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2015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Feb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2. </w:t>
      </w:r>
    </w:p>
    <w:p w:rsidR="00F654C5" w:rsidRPr="001C6F01" w:rsidRDefault="00F654C5" w:rsidP="00A85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Provost M,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Brégeon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J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Aubert P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Duchalais-Dassonneville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E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, D'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Aldebert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E, Vergnolle N,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Meurette G</w:t>
      </w:r>
      <w:r w:rsidRPr="001C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hyperlink r:id="rId22" w:history="1">
        <w:r w:rsidR="001C6F01" w:rsidRPr="001C6F0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Effects of 1-week sacral nerve stimulation on the rectal intestinal epithelial barrier and neuromuscular transmission in a porcine model.</w:t>
        </w:r>
      </w:hyperlink>
      <w:r w:rsidR="001C6F01" w:rsidRPr="001C6F0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Neurogastroenterol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Motil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Jan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;27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(1):40-50</w:t>
      </w:r>
      <w:r w:rsid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654C5" w:rsidRPr="001C6F01" w:rsidRDefault="00F654C5" w:rsidP="00F65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Clairembault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Leclair-Visonneau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L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>Neunlist</w:t>
      </w:r>
      <w:proofErr w:type="spellEnd"/>
      <w:r w:rsidRPr="001C6F0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fr-FR"/>
        </w:rPr>
        <w:t xml:space="preserve"> M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Derkinderen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P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hyperlink r:id="rId23" w:history="1">
        <w:r w:rsidR="004A110F" w:rsidRPr="004A110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val="en-US" w:eastAsia="fr-FR"/>
          </w:rPr>
          <w:t>Enteric glial cells: new players in Parkinson's disease?</w:t>
        </w:r>
      </w:hyperlink>
      <w:r w:rsidR="004A110F" w:rsidRPr="004A110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Mov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Disord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2015 Apr</w:t>
      </w:r>
      <w:proofErr w:type="gram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;30</w:t>
      </w:r>
      <w:proofErr w:type="gram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(4):494-8. </w:t>
      </w:r>
    </w:p>
    <w:p w:rsidR="00EC2384" w:rsidRPr="001C6F01" w:rsidRDefault="00EC2384" w:rsidP="00EC2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Lévêque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X,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Mathieux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Nerrière-Daguin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Thinard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Kermarrec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L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Durand T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Haudebourg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Vanhove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Lescaudron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Neveu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Naveilhan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P.</w:t>
      </w:r>
      <w:r w:rsidR="004A110F" w:rsidRPr="004A110F">
        <w:rPr>
          <w:lang w:val="en-US"/>
        </w:rPr>
        <w:t xml:space="preserve"> </w:t>
      </w:r>
      <w:r w:rsidR="004A110F" w:rsidRPr="004A110F">
        <w:rPr>
          <w:i/>
        </w:rPr>
        <w:fldChar w:fldCharType="begin"/>
      </w:r>
      <w:r w:rsidR="004A110F" w:rsidRPr="004A110F">
        <w:rPr>
          <w:i/>
          <w:lang w:val="en-US"/>
        </w:rPr>
        <w:instrText xml:space="preserve"> HYPERLINK "http://www.ncbi.nlm.nih.gov.gate2.inist.fr/pubmed/25310920" </w:instrText>
      </w:r>
      <w:r w:rsidR="004A110F" w:rsidRPr="004A110F">
        <w:rPr>
          <w:i/>
        </w:rPr>
        <w:fldChar w:fldCharType="separate"/>
      </w:r>
      <w:r w:rsidR="004A110F" w:rsidRPr="004A110F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fr-FR"/>
        </w:rPr>
        <w:t>Local control of the host immune response performed with mesenchymal stem cells: perspectives for functional intracerebral xenotransplantation.</w:t>
      </w:r>
      <w:r w:rsidR="004A110F" w:rsidRPr="004A110F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fr-FR"/>
        </w:rPr>
        <w:fldChar w:fldCharType="end"/>
      </w:r>
      <w:r w:rsidRPr="004A110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  <w:r w:rsidRPr="004A11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</w:t>
      </w:r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Cell </w:t>
      </w:r>
      <w:proofErr w:type="spellStart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</w:t>
      </w:r>
      <w:proofErr w:type="spellEnd"/>
      <w:r w:rsidRPr="001C6F0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Med. 2015 Jan;19(1):124-34. </w:t>
      </w:r>
    </w:p>
    <w:p w:rsidR="00EC2384" w:rsidRPr="001C6F01" w:rsidRDefault="00EC2384" w:rsidP="00A8530E">
      <w:pPr>
        <w:rPr>
          <w:lang w:val="en-US"/>
        </w:rPr>
      </w:pPr>
      <w:bookmarkStart w:id="0" w:name="_GoBack"/>
      <w:bookmarkEnd w:id="0"/>
    </w:p>
    <w:sectPr w:rsidR="00EC2384" w:rsidRPr="001C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CD6"/>
    <w:multiLevelType w:val="multilevel"/>
    <w:tmpl w:val="7B6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C501D"/>
    <w:multiLevelType w:val="multilevel"/>
    <w:tmpl w:val="3CF4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943FE"/>
    <w:multiLevelType w:val="multilevel"/>
    <w:tmpl w:val="366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0E"/>
    <w:rsid w:val="001C6F01"/>
    <w:rsid w:val="004A110F"/>
    <w:rsid w:val="008D34B1"/>
    <w:rsid w:val="009E7BA1"/>
    <w:rsid w:val="00A8530E"/>
    <w:rsid w:val="00B23F32"/>
    <w:rsid w:val="00BE20D5"/>
    <w:rsid w:val="00D07975"/>
    <w:rsid w:val="00EC2384"/>
    <w:rsid w:val="00F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7961-9467-4456-9BF2-0D246B7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D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34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3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rsid w:val="00F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54C5"/>
    <w:rPr>
      <w:color w:val="0000FF"/>
      <w:u w:val="single"/>
    </w:rPr>
  </w:style>
  <w:style w:type="paragraph" w:customStyle="1" w:styleId="desc">
    <w:name w:val="desc"/>
    <w:basedOn w:val="Normal"/>
    <w:rsid w:val="00F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F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F654C5"/>
  </w:style>
  <w:style w:type="paragraph" w:customStyle="1" w:styleId="links">
    <w:name w:val="links"/>
    <w:basedOn w:val="Normal"/>
    <w:rsid w:val="00F6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olissue">
    <w:name w:val="volissue"/>
    <w:basedOn w:val="Normal"/>
    <w:rsid w:val="008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ecissuetitle">
    <w:name w:val="specissuetitle"/>
    <w:basedOn w:val="Normal"/>
    <w:rsid w:val="008D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34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D34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34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-ncbitoggler-master-text">
    <w:name w:val="ui-ncbitoggler-master-text"/>
    <w:basedOn w:val="Policepardfaut"/>
    <w:rsid w:val="008D34B1"/>
  </w:style>
  <w:style w:type="character" w:customStyle="1" w:styleId="highlight">
    <w:name w:val="highlight"/>
    <w:basedOn w:val="Policepardfaut"/>
    <w:rsid w:val="008D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.gate2.inist.fr/pubmed/26629597" TargetMode="External"/><Relationship Id="rId13" Type="http://schemas.openxmlformats.org/officeDocument/2006/relationships/hyperlink" Target="http://www.ncbi.nlm.nih.gov.gate2.inist.fr/pubmed/26338799" TargetMode="External"/><Relationship Id="rId18" Type="http://schemas.openxmlformats.org/officeDocument/2006/relationships/hyperlink" Target="http://www.ncbi.nlm.nih.gov.gate2.inist.fr/pubmed/25798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.gate2.inist.fr/pubmed/25643249" TargetMode="External"/><Relationship Id="rId7" Type="http://schemas.openxmlformats.org/officeDocument/2006/relationships/hyperlink" Target="http://www.ncbi.nlm.nih.gov.gate2.inist.fr/pubmed/26433161" TargetMode="External"/><Relationship Id="rId12" Type="http://schemas.openxmlformats.org/officeDocument/2006/relationships/hyperlink" Target="http://www.ncbi.nlm.nih.gov.gate2.inist.fr/pubmed/26340838" TargetMode="External"/><Relationship Id="rId17" Type="http://schemas.openxmlformats.org/officeDocument/2006/relationships/hyperlink" Target="http://www.ncbi.nlm.nih.gov.gate2.inist.fr/pubmed/259309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.gate2.inist.fr/pubmed/26134776" TargetMode="External"/><Relationship Id="rId20" Type="http://schemas.openxmlformats.org/officeDocument/2006/relationships/hyperlink" Target="http://www.ncbi.nlm.nih.gov.gate2.inist.fr/pubmed/256555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.gate2.inist.fr/pubmed/26571399" TargetMode="External"/><Relationship Id="rId11" Type="http://schemas.openxmlformats.org/officeDocument/2006/relationships/hyperlink" Target="http://www.ncbi.nlm.nih.gov.gate2.inist.fr/pubmed/2642400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cbi.nlm.nih.gov.gate2.inist.fr/pubmed/26599299" TargetMode="External"/><Relationship Id="rId15" Type="http://schemas.openxmlformats.org/officeDocument/2006/relationships/hyperlink" Target="http://www.ncbi.nlm.nih.gov.gate2.inist.fr/pubmed/26172436" TargetMode="External"/><Relationship Id="rId23" Type="http://schemas.openxmlformats.org/officeDocument/2006/relationships/hyperlink" Target="http://www.ncbi.nlm.nih.gov.gate2.inist.fr/pubmed/25100667" TargetMode="External"/><Relationship Id="rId10" Type="http://schemas.openxmlformats.org/officeDocument/2006/relationships/hyperlink" Target="http://www.ncbi.nlm.nih.gov.gate2.inist.fr/pubmed/26537674" TargetMode="External"/><Relationship Id="rId19" Type="http://schemas.openxmlformats.org/officeDocument/2006/relationships/hyperlink" Target="http://www.ncbi.nlm.nih.gov.gate2.inist.fr/pubmed/25775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.gate2.inist.fr/pubmed/26563663" TargetMode="External"/><Relationship Id="rId14" Type="http://schemas.openxmlformats.org/officeDocument/2006/relationships/hyperlink" Target="http://www.ncbi.nlm.nih.gov.gate2.inist.fr/pubmed/26212105" TargetMode="External"/><Relationship Id="rId22" Type="http://schemas.openxmlformats.org/officeDocument/2006/relationships/hyperlink" Target="http://www.ncbi.nlm.nih.gov.gate2.inist.fr/pubmed/253889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TASSEL</dc:creator>
  <cp:keywords/>
  <dc:description/>
  <cp:lastModifiedBy>M TASSEL</cp:lastModifiedBy>
  <cp:revision>6</cp:revision>
  <dcterms:created xsi:type="dcterms:W3CDTF">2015-12-29T13:03:00Z</dcterms:created>
  <dcterms:modified xsi:type="dcterms:W3CDTF">2015-12-29T14:18:00Z</dcterms:modified>
</cp:coreProperties>
</file>